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D4E52" w:rsidR="002D4E52" w:rsidP="5320AEE5" w:rsidRDefault="002D4E52" w14:paraId="11B0D50F" w14:noSpellErr="1" w14:textId="58F920AD">
      <w:pPr>
        <w:jc w:val="center"/>
      </w:pPr>
      <w:r w:rsidRPr="7D5D3399" w:rsidR="002D4E52">
        <w:rPr>
          <w:b w:val="1"/>
          <w:bCs w:val="1"/>
        </w:rPr>
        <w:t>Situação Atual do Uso do Power BI na SUSEP</w:t>
      </w:r>
    </w:p>
    <w:p w:rsidR="7D5D3399" w:rsidP="7D5D3399" w:rsidRDefault="7D5D3399" w14:paraId="14C03B96" w14:textId="6F0280ED">
      <w:pPr>
        <w:jc w:val="both"/>
      </w:pPr>
    </w:p>
    <w:p w:rsidRPr="002D4E52" w:rsidR="002D4E52" w:rsidP="7D5D3399" w:rsidRDefault="002D4E52" w14:paraId="47EA5CD7" w14:textId="08EC4222">
      <w:pPr>
        <w:jc w:val="both"/>
      </w:pPr>
      <w:r w:rsidR="002D4E52">
        <w:rPr/>
        <w:t xml:space="preserve">A Superintendência de Seguros Privados (SUSEP) utiliza o Power BI como principal ferramenta de Business </w:t>
      </w:r>
      <w:r w:rsidR="002D4E52">
        <w:rPr/>
        <w:t>Intelligence</w:t>
      </w:r>
      <w:r w:rsidR="002D4E52">
        <w:rPr/>
        <w:t xml:space="preserve"> há aproximadamente cinco anos. Inicialmente, a adoção do Power BI ocorreu como uma solução alternativa que oferecia maior flexibilidade de uso e licenciamento, evoluindo progressivamente para a posição de ferramenta oficial e centralizada para BI na instituição.</w:t>
      </w:r>
    </w:p>
    <w:p w:rsidRPr="002D4E52" w:rsidR="002D4E52" w:rsidP="7D5D3399" w:rsidRDefault="002D4E52" w14:paraId="04F88D62" w14:textId="77777777">
      <w:pPr>
        <w:jc w:val="both"/>
      </w:pPr>
      <w:r w:rsidR="002D4E52">
        <w:rPr/>
        <w:t>Nesse período:</w:t>
      </w:r>
    </w:p>
    <w:p w:rsidRPr="002D4E52" w:rsidR="002D4E52" w:rsidP="7D5D3399" w:rsidRDefault="002D4E52" w14:paraId="4E54A3F2" w14:textId="77777777">
      <w:pPr>
        <w:numPr>
          <w:ilvl w:val="0"/>
          <w:numId w:val="1"/>
        </w:numPr>
        <w:jc w:val="both"/>
        <w:rPr/>
      </w:pPr>
      <w:r w:rsidR="002D4E52">
        <w:rPr/>
        <w:t>A SUSEP começou com uma licença Power BI Premium P1, que logo apresentou utilização constante de 80% ou mais da capacidade disponível. Em razão disso, na contratação subsequente foi realizada a migração para a licença Premium P2, garantindo maior disponibilidade.</w:t>
      </w:r>
    </w:p>
    <w:p w:rsidRPr="002D4E52" w:rsidR="002D4E52" w:rsidP="7D5D3399" w:rsidRDefault="002D4E52" w14:paraId="20224F5C" w14:textId="3DF6723D">
      <w:pPr>
        <w:numPr>
          <w:ilvl w:val="0"/>
          <w:numId w:val="1"/>
        </w:numPr>
        <w:jc w:val="both"/>
        <w:rPr/>
      </w:pPr>
      <w:r w:rsidR="002D4E52">
        <w:rPr/>
        <w:t>Posteriormente, com a mudança na política de alocação de v-cores pela Microsoft — que passou a permitir o uso integral da capacidade, independentemente do balanceamento entre front-</w:t>
      </w:r>
      <w:r w:rsidR="002D4E52">
        <w:rPr/>
        <w:t>end</w:t>
      </w:r>
      <w:r w:rsidR="002D4E52">
        <w:rPr/>
        <w:t xml:space="preserve"> e </w:t>
      </w:r>
      <w:r w:rsidR="002D4E52">
        <w:rPr/>
        <w:t>back-end</w:t>
      </w:r>
      <w:r w:rsidR="002D4E52">
        <w:rPr/>
        <w:t xml:space="preserve"> — a capacidade P2 passou a ficar subutilizada, com picos eventuais de até 25%. Por esse motivo, optou-se pela redução da capacidade para o </w:t>
      </w:r>
      <w:r w:rsidR="002D4E52">
        <w:rPr/>
        <w:t>Fabric</w:t>
      </w:r>
      <w:r w:rsidR="002D4E52">
        <w:rPr/>
        <w:t xml:space="preserve"> F64, equivalente em performance à antiga licença Premium P1.</w:t>
      </w:r>
    </w:p>
    <w:p w:rsidRPr="002D4E52" w:rsidR="002D4E52" w:rsidP="7D5D3399" w:rsidRDefault="002D4E52" w14:paraId="5F4B4B18" w14:textId="77777777">
      <w:pPr>
        <w:jc w:val="both"/>
      </w:pPr>
      <w:r w:rsidR="002D4E52">
        <w:rPr/>
        <w:t>Durante esse período, foram promovidos diversos treinamentos de introdução ao Power BI, possibilitando que muitos servidores tivessem seu primeiro contato com a plataforma e desenvolvessem habilidades para criação de relatórios e análises.</w:t>
      </w:r>
    </w:p>
    <w:p w:rsidRPr="002D4E52" w:rsidR="002D4E52" w:rsidP="7D5D3399" w:rsidRDefault="002D4E52" w14:paraId="668CCD47" w14:textId="77777777">
      <w:pPr>
        <w:jc w:val="both"/>
      </w:pPr>
      <w:r w:rsidR="002D4E52">
        <w:rPr/>
        <w:t>Atualmente, a estrutura de uso do Power BI na SUSEP compreende:</w:t>
      </w:r>
    </w:p>
    <w:p w:rsidRPr="002D4E52" w:rsidR="002D4E52" w:rsidP="7D5D3399" w:rsidRDefault="002D4E52" w14:paraId="42AC1CC5" w14:textId="65D76CA8">
      <w:pPr>
        <w:numPr>
          <w:ilvl w:val="0"/>
          <w:numId w:val="2"/>
        </w:numPr>
        <w:jc w:val="both"/>
        <w:rPr/>
      </w:pPr>
      <w:r w:rsidRPr="7D5D3399" w:rsidR="002D4E52">
        <w:rPr>
          <w:b w:val="1"/>
          <w:bCs w:val="1"/>
        </w:rPr>
        <w:t>Workspaces</w:t>
      </w:r>
      <w:r w:rsidRPr="7D5D3399" w:rsidR="002D4E52">
        <w:rPr>
          <w:b w:val="1"/>
          <w:bCs w:val="1"/>
        </w:rPr>
        <w:t>:</w:t>
      </w:r>
      <w:r w:rsidR="002D4E52">
        <w:rPr/>
        <w:t xml:space="preserve"> cerca de 30 </w:t>
      </w:r>
      <w:r w:rsidR="002D4E52">
        <w:rPr/>
        <w:t>workspaces</w:t>
      </w:r>
      <w:r w:rsidR="002D4E52">
        <w:rPr/>
        <w:t xml:space="preserve"> ativos (excluindo </w:t>
      </w:r>
      <w:r w:rsidR="002D4E52">
        <w:rPr/>
        <w:t>workspaces</w:t>
      </w:r>
      <w:r w:rsidR="002D4E52">
        <w:rPr/>
        <w:t xml:space="preserve"> pessoais), praticamente todos configurados para utilizar a capacidade Premium/</w:t>
      </w:r>
      <w:r w:rsidR="002D4E52">
        <w:rPr/>
        <w:t>Fabric</w:t>
      </w:r>
      <w:r w:rsidR="002D4E52">
        <w:rPr/>
        <w:t>.</w:t>
      </w:r>
    </w:p>
    <w:p w:rsidRPr="002D4E52" w:rsidR="002D4E52" w:rsidP="7D5D3399" w:rsidRDefault="002D4E52" w14:paraId="5FD894B2" w14:textId="77777777">
      <w:pPr>
        <w:numPr>
          <w:ilvl w:val="0"/>
          <w:numId w:val="2"/>
        </w:numPr>
        <w:jc w:val="both"/>
        <w:rPr/>
      </w:pPr>
      <w:r w:rsidRPr="7D5D3399" w:rsidR="002D4E52">
        <w:rPr>
          <w:b w:val="1"/>
          <w:bCs w:val="1"/>
        </w:rPr>
        <w:t>Relatórios:</w:t>
      </w:r>
      <w:r w:rsidR="002D4E52">
        <w:rPr/>
        <w:t xml:space="preserve"> 311 relatórios publicados na capacidade, dos quais aproximadamente 70 estão em produção com acessos autorizados. Destes, 6 relatórios encontram-se disponibilizados no site institucional da SUSEP com acesso irrestrito ao público.</w:t>
      </w:r>
    </w:p>
    <w:p w:rsidRPr="002D4E52" w:rsidR="002D4E52" w:rsidP="7D5D3399" w:rsidRDefault="002D4E52" w14:paraId="12CD566B" w14:textId="77777777">
      <w:pPr>
        <w:numPr>
          <w:ilvl w:val="0"/>
          <w:numId w:val="2"/>
        </w:numPr>
        <w:jc w:val="both"/>
        <w:rPr/>
      </w:pPr>
      <w:r w:rsidRPr="7D5D3399" w:rsidR="002D4E52">
        <w:rPr>
          <w:b w:val="1"/>
          <w:bCs w:val="1"/>
        </w:rPr>
        <w:t>Dashboards:</w:t>
      </w:r>
      <w:r w:rsidR="002D4E52">
        <w:rPr/>
        <w:t xml:space="preserve"> 15 dashboards em uso interno.</w:t>
      </w:r>
    </w:p>
    <w:p w:rsidRPr="002D4E52" w:rsidR="002D4E52" w:rsidP="7D5D3399" w:rsidRDefault="002D4E52" w14:paraId="6A7913F8" w14:textId="77777777">
      <w:pPr>
        <w:numPr>
          <w:ilvl w:val="0"/>
          <w:numId w:val="2"/>
        </w:numPr>
        <w:jc w:val="both"/>
        <w:rPr/>
      </w:pPr>
      <w:r w:rsidRPr="7D5D3399" w:rsidR="002D4E52">
        <w:rPr>
          <w:b w:val="1"/>
          <w:bCs w:val="1"/>
        </w:rPr>
        <w:t>Apps:</w:t>
      </w:r>
      <w:r w:rsidR="002D4E52">
        <w:rPr/>
        <w:t xml:space="preserve"> 9 aplicativos (apps) publicados para organização e distribuição dos conteúdos aos usuários.</w:t>
      </w:r>
    </w:p>
    <w:p w:rsidRPr="002D4E52" w:rsidR="002D4E52" w:rsidP="7D5D3399" w:rsidRDefault="002D4E52" w14:paraId="42000DC6" w14:textId="77777777">
      <w:pPr>
        <w:numPr>
          <w:ilvl w:val="0"/>
          <w:numId w:val="2"/>
        </w:numPr>
        <w:jc w:val="both"/>
        <w:rPr/>
      </w:pPr>
      <w:r w:rsidRPr="7D5D3399" w:rsidR="002D4E52">
        <w:rPr>
          <w:b w:val="1"/>
          <w:bCs w:val="1"/>
        </w:rPr>
        <w:t>Modelos semânticos:</w:t>
      </w:r>
      <w:r w:rsidR="002D4E52">
        <w:rPr/>
        <w:t xml:space="preserve"> 235 modelos semânticos hospedados e utilizados em diferentes relatórios.</w:t>
      </w:r>
    </w:p>
    <w:p w:rsidRPr="002D4E52" w:rsidR="002D4E52" w:rsidP="7D5D3399" w:rsidRDefault="002D4E52" w14:paraId="171D485D" w14:textId="77777777">
      <w:pPr>
        <w:numPr>
          <w:ilvl w:val="0"/>
          <w:numId w:val="2"/>
        </w:numPr>
        <w:jc w:val="both"/>
        <w:rPr/>
      </w:pPr>
      <w:r w:rsidRPr="7D5D3399" w:rsidR="002D4E52">
        <w:rPr>
          <w:b w:val="1"/>
          <w:bCs w:val="1"/>
        </w:rPr>
        <w:t>Domínios do Power BI:</w:t>
      </w:r>
      <w:r w:rsidR="002D4E52">
        <w:rPr/>
        <w:t xml:space="preserve"> até o momento, a SUSEP não utiliza domínios dedicados do Power BI para governança adicional.</w:t>
      </w:r>
    </w:p>
    <w:p w:rsidRPr="002D4E52" w:rsidR="002D4E52" w:rsidP="7D5D3399" w:rsidRDefault="002D4E52" w14:paraId="596DCCAF" w14:textId="77777777">
      <w:pPr>
        <w:jc w:val="both"/>
      </w:pPr>
      <w:r w:rsidR="002D4E52">
        <w:rPr/>
        <w:t>Quanto ao licenciamento:</w:t>
      </w:r>
    </w:p>
    <w:p w:rsidRPr="002D4E52" w:rsidR="002D4E52" w:rsidP="7D5D3399" w:rsidRDefault="002D4E52" w14:paraId="6452388D" w14:textId="2700F3C2">
      <w:pPr>
        <w:numPr>
          <w:ilvl w:val="0"/>
          <w:numId w:val="3"/>
        </w:numPr>
        <w:jc w:val="both"/>
        <w:rPr/>
      </w:pPr>
      <w:r w:rsidR="002D4E52">
        <w:rPr/>
        <w:t xml:space="preserve">São utilizadas atualmente </w:t>
      </w:r>
      <w:r w:rsidR="002D4E52">
        <w:rPr/>
        <w:t>25 licenças Pro</w:t>
      </w:r>
      <w:r w:rsidR="002D4E52">
        <w:rPr/>
        <w:t>, distribuídas entre as diretorias de forma a garantir autonomia para o desenvolvimento, publicação e manutenção de relatórios.</w:t>
      </w:r>
    </w:p>
    <w:p w:rsidRPr="002D4E52" w:rsidR="002D4E52" w:rsidP="7D5D3399" w:rsidRDefault="002D4E52" w14:paraId="41507767" w14:textId="658ADF9B">
      <w:pPr>
        <w:numPr>
          <w:ilvl w:val="0"/>
          <w:numId w:val="3"/>
        </w:numPr>
        <w:jc w:val="both"/>
        <w:rPr/>
      </w:pPr>
      <w:r w:rsidR="002D4E52">
        <w:rPr/>
        <w:t>Existem mais de 200 usuários com licença gratuita (</w:t>
      </w:r>
      <w:r w:rsidR="002D4E52">
        <w:rPr/>
        <w:t>free</w:t>
      </w:r>
      <w:r w:rsidR="002D4E52">
        <w:rPr/>
        <w:t>), que acessam conteúdos publicados na capacidade Premium/</w:t>
      </w:r>
      <w:r w:rsidR="002D4E52">
        <w:rPr/>
        <w:t>Fabric</w:t>
      </w:r>
      <w:r w:rsidR="002D4E52">
        <w:rPr/>
        <w:t>.</w:t>
      </w:r>
    </w:p>
    <w:p w:rsidRPr="002D4E52" w:rsidR="002D4E52" w:rsidP="7D5D3399" w:rsidRDefault="002D4E52" w14:paraId="47017FC3" w14:textId="77777777">
      <w:pPr>
        <w:jc w:val="both"/>
      </w:pPr>
      <w:r w:rsidR="002D4E52">
        <w:rPr/>
        <w:t>Em relação às fontes de dados:</w:t>
      </w:r>
    </w:p>
    <w:p w:rsidRPr="002D4E52" w:rsidR="002D4E52" w:rsidP="7D5D3399" w:rsidRDefault="002D4E52" w14:paraId="1F8F3169" w14:textId="77777777">
      <w:pPr>
        <w:numPr>
          <w:ilvl w:val="0"/>
          <w:numId w:val="4"/>
        </w:numPr>
        <w:jc w:val="both"/>
        <w:rPr/>
      </w:pPr>
      <w:r w:rsidR="002D4E52">
        <w:rPr/>
        <w:t xml:space="preserve">A maioria dos painéis consome dados oriundos de bancos de dados </w:t>
      </w:r>
      <w:r w:rsidRPr="7D5D3399" w:rsidR="002D4E52">
        <w:rPr>
          <w:b w:val="1"/>
          <w:bCs w:val="1"/>
        </w:rPr>
        <w:t>SQL Server</w:t>
      </w:r>
      <w:r w:rsidR="002D4E52">
        <w:rPr/>
        <w:t>, internos à infraestrutura da SUSEP.</w:t>
      </w:r>
    </w:p>
    <w:p w:rsidRPr="002D4E52" w:rsidR="002D4E52" w:rsidP="7D5D3399" w:rsidRDefault="002D4E52" w14:paraId="53674D41" w14:textId="77777777">
      <w:pPr>
        <w:numPr>
          <w:ilvl w:val="0"/>
          <w:numId w:val="4"/>
        </w:numPr>
        <w:jc w:val="both"/>
        <w:rPr/>
      </w:pPr>
      <w:r w:rsidR="002D4E52">
        <w:rPr/>
        <w:t>Alguns relatórios utilizam planilhas armazenadas na rede corporativa, principalmente em diretórios do SharePoint.</w:t>
      </w:r>
    </w:p>
    <w:p w:rsidRPr="002D4E52" w:rsidR="002D4E52" w:rsidP="7D5D3399" w:rsidRDefault="002D4E52" w14:paraId="3D0B94B9" w14:textId="77777777">
      <w:pPr>
        <w:numPr>
          <w:ilvl w:val="0"/>
          <w:numId w:val="4"/>
        </w:numPr>
        <w:jc w:val="both"/>
        <w:rPr/>
      </w:pPr>
      <w:r w:rsidR="002D4E52">
        <w:rPr/>
        <w:t>Um número reduzido de painéis acessa bases externas a partir de conexões diretas ou serviços intermediários.</w:t>
      </w:r>
    </w:p>
    <w:p w:rsidRPr="002D4E52" w:rsidR="002D4E52" w:rsidP="7D5D3399" w:rsidRDefault="002D4E52" w14:paraId="00555C72" w14:textId="77777777">
      <w:pPr>
        <w:jc w:val="both"/>
      </w:pPr>
      <w:r w:rsidRPr="7D5D3399" w:rsidR="002D4E52">
        <w:rPr>
          <w:b w:val="1"/>
          <w:bCs w:val="1"/>
        </w:rPr>
        <w:t>Governança e segurança:</w:t>
      </w:r>
    </w:p>
    <w:p w:rsidRPr="002D4E52" w:rsidR="002D4E52" w:rsidP="7D5D3399" w:rsidRDefault="002D4E52" w14:paraId="65C82FB8" w14:textId="77777777">
      <w:pPr>
        <w:numPr>
          <w:ilvl w:val="0"/>
          <w:numId w:val="5"/>
        </w:numPr>
        <w:jc w:val="both"/>
        <w:rPr/>
      </w:pPr>
      <w:r w:rsidR="002D4E52">
        <w:rPr/>
        <w:t>A SUSEP encontra-se em fase inicial de implantação do Plano de Governança de Dados.</w:t>
      </w:r>
    </w:p>
    <w:p w:rsidRPr="002D4E52" w:rsidR="002D4E52" w:rsidP="7D5D3399" w:rsidRDefault="002D4E52" w14:paraId="4BDB896D" w14:textId="3EBB2F75">
      <w:pPr>
        <w:numPr>
          <w:ilvl w:val="0"/>
          <w:numId w:val="5"/>
        </w:numPr>
        <w:jc w:val="both"/>
        <w:rPr/>
      </w:pPr>
      <w:r w:rsidR="002D4E52">
        <w:rPr/>
        <w:t xml:space="preserve">Atualmente, os </w:t>
      </w:r>
      <w:r w:rsidRPr="7D5D3399" w:rsidR="002D4E52">
        <w:rPr>
          <w:b w:val="1"/>
          <w:bCs w:val="1"/>
        </w:rPr>
        <w:t>workspaces</w:t>
      </w:r>
      <w:r w:rsidRPr="7D5D3399" w:rsidR="002D4E52">
        <w:rPr>
          <w:b w:val="1"/>
          <w:bCs w:val="1"/>
        </w:rPr>
        <w:t xml:space="preserve"> são organizados por área</w:t>
      </w:r>
      <w:r w:rsidR="002D4E52">
        <w:rPr/>
        <w:t xml:space="preserve">, e, como padrão, todos os usuários lotados na respectiva área possuem permissão de visualização dos conteúdos desse </w:t>
      </w:r>
      <w:r w:rsidR="002D4E52">
        <w:rPr/>
        <w:t>workspace</w:t>
      </w:r>
      <w:r w:rsidR="002D4E52">
        <w:rPr/>
        <w:t>.</w:t>
      </w:r>
    </w:p>
    <w:p w:rsidRPr="002D4E52" w:rsidR="002D4E52" w:rsidP="7D5D3399" w:rsidRDefault="002D4E52" w14:paraId="4033EBD2" w14:textId="77777777">
      <w:pPr>
        <w:numPr>
          <w:ilvl w:val="0"/>
          <w:numId w:val="5"/>
        </w:numPr>
        <w:jc w:val="both"/>
        <w:rPr/>
      </w:pPr>
      <w:r w:rsidR="002D4E52">
        <w:rPr/>
        <w:t>Nos casos em que há informações sensíveis ou restritas, o acesso aos relatórios é individualizado.</w:t>
      </w:r>
    </w:p>
    <w:p w:rsidRPr="002D4E52" w:rsidR="002D4E52" w:rsidP="7D5D3399" w:rsidRDefault="002D4E52" w14:paraId="22EAAD3C" w14:textId="08E088A3">
      <w:pPr>
        <w:numPr>
          <w:ilvl w:val="0"/>
          <w:numId w:val="5"/>
        </w:numPr>
        <w:jc w:val="both"/>
        <w:rPr/>
      </w:pPr>
      <w:r w:rsidR="002D4E52">
        <w:rPr/>
        <w:t xml:space="preserve">Para controlar o acesso por lotação, são utilizados </w:t>
      </w:r>
      <w:r w:rsidRPr="7D5D3399" w:rsidR="002D4E52">
        <w:rPr>
          <w:b w:val="1"/>
          <w:bCs w:val="1"/>
        </w:rPr>
        <w:t xml:space="preserve">grupos do Active </w:t>
      </w:r>
      <w:r w:rsidRPr="7D5D3399" w:rsidR="002D4E52">
        <w:rPr>
          <w:b w:val="1"/>
          <w:bCs w:val="1"/>
        </w:rPr>
        <w:t>Directory</w:t>
      </w:r>
      <w:r w:rsidR="002D4E52">
        <w:rPr/>
        <w:t>, garantindo alinhamento com a estrutura organizacional.</w:t>
      </w:r>
    </w:p>
    <w:p w:rsidRPr="002D4E52" w:rsidR="002D4E52" w:rsidP="7D5D3399" w:rsidRDefault="002D4E52" w14:paraId="20049763" w14:textId="18B9CA85">
      <w:pPr>
        <w:numPr>
          <w:ilvl w:val="0"/>
          <w:numId w:val="5"/>
        </w:numPr>
        <w:jc w:val="both"/>
        <w:rPr/>
      </w:pPr>
      <w:r w:rsidR="002D4E52">
        <w:rPr/>
        <w:t xml:space="preserve">É utilizado um </w:t>
      </w:r>
      <w:r w:rsidRPr="7D5D3399" w:rsidR="002D4E52">
        <w:rPr>
          <w:b w:val="1"/>
          <w:bCs w:val="1"/>
        </w:rPr>
        <w:t>gateway de dados local</w:t>
      </w:r>
      <w:r w:rsidR="002D4E52">
        <w:rPr/>
        <w:t xml:space="preserve">, e a SUSEP está em processo de migração de todas as conexões para utilização com </w:t>
      </w:r>
      <w:r w:rsidRPr="7D5D3399" w:rsidR="002D4E52">
        <w:rPr>
          <w:b w:val="1"/>
          <w:bCs w:val="1"/>
        </w:rPr>
        <w:t>usuários de aplicação</w:t>
      </w:r>
      <w:r w:rsidR="002D4E52">
        <w:rPr/>
        <w:t>, visando maior segurança e melhor gerenciamento de credenciais.</w:t>
      </w:r>
    </w:p>
    <w:p w:rsidR="002D4E52" w:rsidP="7D5D3399" w:rsidRDefault="002D4E52" w14:paraId="62579FC0" w14:textId="77777777" w14:noSpellErr="1">
      <w:pPr>
        <w:jc w:val="both"/>
      </w:pPr>
    </w:p>
    <w:sectPr w:rsidR="002D4E52">
      <w:pgSz w:w="11906" w:h="16838" w:orient="portrait"/>
      <w:pgMar w:top="1417" w:right="1701" w:bottom="1417" w:left="1701" w:header="708" w:footer="708" w:gutter="0"/>
      <w:cols w:space="708"/>
      <w:docGrid w:linePitch="360"/>
      <w:headerReference w:type="default" r:id="R2fc2ecdbe9ca41f3"/>
      <w:footerReference w:type="default" r:id="R5ae50e8993ee42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320AEE5" w:rsidTr="7D5D3399" w14:paraId="6407D897">
      <w:trPr>
        <w:trHeight w:val="300"/>
      </w:trPr>
      <w:tc>
        <w:tcPr>
          <w:tcW w:w="2830" w:type="dxa"/>
          <w:tcMar/>
        </w:tcPr>
        <w:p w:rsidR="5320AEE5" w:rsidP="5320AEE5" w:rsidRDefault="5320AEE5" w14:paraId="05B5382F" w14:textId="23197F86">
          <w:pPr>
            <w:pStyle w:val="Header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5320AEE5" w:rsidP="5320AEE5" w:rsidRDefault="5320AEE5" w14:paraId="1C782308" w14:textId="05DF0F4B">
          <w:pPr>
            <w:pStyle w:val="Header"/>
            <w:bidi w:val="0"/>
            <w:jc w:val="center"/>
          </w:pPr>
        </w:p>
      </w:tc>
      <w:tc>
        <w:tcPr>
          <w:tcW w:w="2830" w:type="dxa"/>
          <w:tcMar/>
        </w:tcPr>
        <w:p w:rsidR="5320AEE5" w:rsidP="5320AEE5" w:rsidRDefault="5320AEE5" w14:paraId="028A60E7" w14:textId="052B7971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  <w:p w:rsidR="5320AEE5" w:rsidP="5320AEE5" w:rsidRDefault="5320AEE5" w14:paraId="4A0EDCEE" w14:textId="0EDD14B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elanormal"/>
      <w:bidiVisual w:val="0"/>
      <w:tblW w:w="0" w:type="auto"/>
      <w:tblInd w:w="-150" w:type="dxa"/>
      <w:tblBorders>
        <w:top w:val="single" w:sz="6"/>
        <w:left w:val="single" w:sz="6"/>
        <w:bottom w:val="single" w:sz="6"/>
        <w:right w:val="single" w:sz="6"/>
      </w:tblBorders>
      <w:tblLayout w:type="fixed"/>
      <w:tblLook w:val="04A0" w:firstRow="1" w:lastRow="0" w:firstColumn="1" w:lastColumn="0" w:noHBand="0" w:noVBand="1"/>
    </w:tblPr>
    <w:tblGrid>
      <w:gridCol w:w="3900"/>
      <w:gridCol w:w="4725"/>
    </w:tblGrid>
    <w:tr w:rsidR="5320AEE5" w:rsidTr="5320AEE5" w14:paraId="45CE3B3A">
      <w:trPr>
        <w:trHeight w:val="300"/>
      </w:trPr>
      <w:tc>
        <w:tcPr>
          <w:tcW w:w="3900" w:type="dxa"/>
          <w:tcBorders>
            <w:top w:val="nil"/>
            <w:left w:val="nil"/>
            <w:bottom w:val="nil"/>
            <w:right w:val="nil"/>
          </w:tcBorders>
          <w:tcMar/>
          <w:vAlign w:val="top"/>
        </w:tcPr>
        <w:p w:rsidR="5320AEE5" w:rsidP="5320AEE5" w:rsidRDefault="5320AEE5" w14:paraId="1B77ED26" w14:textId="627764B7">
          <w:pPr>
            <w:widowControl w:val="1"/>
            <w:bidi w:val="0"/>
            <w:spacing w:after="0" w:line="240" w:lineRule="auto"/>
            <w:rPr>
              <w:rFonts w:ascii="Aptos" w:hAnsi="Aptos" w:eastAsia="Aptos" w:cs="Aptos"/>
              <w:b w:val="0"/>
              <w:bCs w:val="0"/>
              <w:i w:val="0"/>
              <w:iCs w:val="0"/>
              <w:caps w:val="0"/>
              <w:smallCaps w:val="0"/>
              <w:color w:val="000000" w:themeColor="text1" w:themeTint="FF" w:themeShade="FF"/>
              <w:sz w:val="22"/>
              <w:szCs w:val="22"/>
            </w:rPr>
          </w:pPr>
          <w:r w:rsidR="5320AEE5">
            <w:drawing>
              <wp:inline wp14:editId="6B1364B7" wp14:anchorId="08CCDEF5">
                <wp:extent cx="1314450" cy="571500"/>
                <wp:effectExtent l="0" t="0" r="0" b="0"/>
                <wp:docPr id="916318492" name="" descr="Image result for susep logo, Imagem, Imagem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d6144d33288b4fa2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445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5320AEE5" w:rsidR="5320AEE5">
            <w:rPr>
              <w:rFonts w:ascii="Aptos" w:hAnsi="Aptos" w:eastAsia="Aptos" w:cs="Aptos"/>
              <w:b w:val="0"/>
              <w:bCs w:val="0"/>
              <w:i w:val="0"/>
              <w:iCs w:val="0"/>
              <w:caps w:val="0"/>
              <w:smallCaps w:val="0"/>
              <w:color w:val="000000" w:themeColor="text1" w:themeTint="FF" w:themeShade="FF"/>
              <w:sz w:val="22"/>
              <w:szCs w:val="22"/>
              <w:lang w:val="pt-BR"/>
            </w:rPr>
            <w:t> </w:t>
          </w:r>
        </w:p>
      </w:tc>
      <w:tc>
        <w:tcPr>
          <w:tcW w:w="4725" w:type="dxa"/>
          <w:tcBorders>
            <w:top w:val="nil"/>
            <w:left w:val="nil"/>
            <w:bottom w:val="nil"/>
            <w:right w:val="nil"/>
          </w:tcBorders>
          <w:tcMar/>
          <w:vAlign w:val="top"/>
        </w:tcPr>
        <w:p w:rsidR="5320AEE5" w:rsidP="5320AEE5" w:rsidRDefault="5320AEE5" w14:paraId="4C2937B0" w14:textId="460932F8">
          <w:pPr>
            <w:widowControl w:val="1"/>
            <w:bidi w:val="0"/>
            <w:spacing w:after="0" w:line="240" w:lineRule="auto"/>
            <w:jc w:val="right"/>
            <w:rPr>
              <w:rFonts w:ascii="Aptos" w:hAnsi="Aptos" w:eastAsia="Aptos" w:cs="Aptos"/>
              <w:b w:val="0"/>
              <w:bCs w:val="0"/>
              <w:i w:val="0"/>
              <w:iCs w:val="0"/>
              <w:caps w:val="0"/>
              <w:smallCaps w:val="0"/>
              <w:color w:val="000000" w:themeColor="text1" w:themeTint="FF" w:themeShade="FF"/>
              <w:sz w:val="22"/>
              <w:szCs w:val="22"/>
            </w:rPr>
          </w:pPr>
          <w:r w:rsidR="5320AEE5">
            <w:drawing>
              <wp:inline wp14:editId="550C501B" wp14:anchorId="16337CBE">
                <wp:extent cx="628650" cy="628650"/>
                <wp:effectExtent l="0" t="0" r="0" b="0"/>
                <wp:docPr id="993342372" name="" descr="Image result for brasÃ£o da repÃºblica, Imagem, Imagem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84554aec12f4c06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5320AEE5" w:rsidR="5320AEE5">
            <w:rPr>
              <w:rFonts w:ascii="Aptos" w:hAnsi="Aptos" w:eastAsia="Aptos" w:cs="Aptos"/>
              <w:b w:val="0"/>
              <w:bCs w:val="0"/>
              <w:i w:val="0"/>
              <w:iCs w:val="0"/>
              <w:caps w:val="0"/>
              <w:smallCaps w:val="0"/>
              <w:color w:val="000000" w:themeColor="text1" w:themeTint="FF" w:themeShade="FF"/>
              <w:sz w:val="22"/>
              <w:szCs w:val="22"/>
              <w:lang w:val="pt-BR"/>
            </w:rPr>
            <w:t> </w:t>
          </w:r>
        </w:p>
      </w:tc>
    </w:tr>
  </w:tbl>
  <w:p w:rsidR="5320AEE5" w:rsidP="5320AEE5" w:rsidRDefault="5320AEE5" w14:paraId="0F6354F9" w14:textId="313E789B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90AAA"/>
    <w:multiLevelType w:val="multilevel"/>
    <w:tmpl w:val="BB08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9877B20"/>
    <w:multiLevelType w:val="multilevel"/>
    <w:tmpl w:val="8382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31C332D2"/>
    <w:multiLevelType w:val="multilevel"/>
    <w:tmpl w:val="E4949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38393157"/>
    <w:multiLevelType w:val="multilevel"/>
    <w:tmpl w:val="4A6ED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3DA221CA"/>
    <w:multiLevelType w:val="multilevel"/>
    <w:tmpl w:val="F3CA3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23548603">
    <w:abstractNumId w:val="1"/>
  </w:num>
  <w:num w:numId="2" w16cid:durableId="1427267374">
    <w:abstractNumId w:val="4"/>
  </w:num>
  <w:num w:numId="3" w16cid:durableId="1163469470">
    <w:abstractNumId w:val="2"/>
  </w:num>
  <w:num w:numId="4" w16cid:durableId="608858506">
    <w:abstractNumId w:val="3"/>
  </w:num>
  <w:num w:numId="5" w16cid:durableId="896210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E52"/>
    <w:rsid w:val="002D4E52"/>
    <w:rsid w:val="00555A01"/>
    <w:rsid w:val="5320AEE5"/>
    <w:rsid w:val="7D5D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C0F4"/>
  <w15:chartTrackingRefBased/>
  <w15:docId w15:val="{2440509F-FF23-4970-9F92-5FD375C7D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D4E5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D4E5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D4E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D4E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D4E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D4E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D4E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D4E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D4E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ontepargpadro" w:default="1">
    <w:name w:val="Default Paragraph Font"/>
    <w:uiPriority w:val="1"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basedOn w:val="Fontepargpadro"/>
    <w:link w:val="Ttulo1"/>
    <w:uiPriority w:val="9"/>
    <w:rsid w:val="002D4E52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/>
    <w:rsid w:val="002D4E5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/>
    <w:rsid w:val="002D4E5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/>
    <w:rsid w:val="002D4E52"/>
    <w:rPr>
      <w:rFonts w:eastAsiaTheme="majorEastAsia" w:cstheme="majorBidi"/>
      <w:i/>
      <w:iCs/>
      <w:color w:val="0F4761" w:themeColor="accent1" w:themeShade="BF"/>
    </w:rPr>
  </w:style>
  <w:style w:type="character" w:styleId="Ttulo5Char" w:customStyle="1">
    <w:name w:val="Título 5 Char"/>
    <w:basedOn w:val="Fontepargpadro"/>
    <w:link w:val="Ttulo5"/>
    <w:uiPriority w:val="9"/>
    <w:semiHidden/>
    <w:rsid w:val="002D4E52"/>
    <w:rPr>
      <w:rFonts w:eastAsiaTheme="majorEastAsia" w:cstheme="majorBidi"/>
      <w:color w:val="0F4761" w:themeColor="accent1" w:themeShade="B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2D4E52"/>
    <w:rPr>
      <w:rFonts w:eastAsiaTheme="majorEastAsia" w:cstheme="majorBidi"/>
      <w:i/>
      <w:iCs/>
      <w:color w:val="595959" w:themeColor="text1" w:themeTint="A6"/>
    </w:rPr>
  </w:style>
  <w:style w:type="character" w:styleId="Ttulo7Char" w:customStyle="1">
    <w:name w:val="Título 7 Char"/>
    <w:basedOn w:val="Fontepargpadro"/>
    <w:link w:val="Ttulo7"/>
    <w:uiPriority w:val="9"/>
    <w:semiHidden/>
    <w:rsid w:val="002D4E52"/>
    <w:rPr>
      <w:rFonts w:eastAsiaTheme="majorEastAsia" w:cstheme="majorBidi"/>
      <w:color w:val="595959" w:themeColor="text1" w:themeTint="A6"/>
    </w:rPr>
  </w:style>
  <w:style w:type="character" w:styleId="Ttulo8Char" w:customStyle="1">
    <w:name w:val="Título 8 Char"/>
    <w:basedOn w:val="Fontepargpadro"/>
    <w:link w:val="Ttulo8"/>
    <w:uiPriority w:val="9"/>
    <w:semiHidden/>
    <w:rsid w:val="002D4E52"/>
    <w:rPr>
      <w:rFonts w:eastAsiaTheme="majorEastAsia" w:cstheme="majorBidi"/>
      <w:i/>
      <w:iCs/>
      <w:color w:val="272727" w:themeColor="text1" w:themeTint="D8"/>
    </w:rPr>
  </w:style>
  <w:style w:type="character" w:styleId="Ttulo9Char" w:customStyle="1">
    <w:name w:val="Título 9 Char"/>
    <w:basedOn w:val="Fontepargpadro"/>
    <w:link w:val="Ttulo9"/>
    <w:uiPriority w:val="9"/>
    <w:semiHidden/>
    <w:rsid w:val="002D4E5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D4E5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har" w:customStyle="1">
    <w:name w:val="Título Char"/>
    <w:basedOn w:val="Fontepargpadro"/>
    <w:link w:val="Ttulo"/>
    <w:uiPriority w:val="10"/>
    <w:rsid w:val="002D4E5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D4E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har" w:customStyle="1">
    <w:name w:val="Subtítulo Char"/>
    <w:basedOn w:val="Fontepargpadro"/>
    <w:link w:val="Subttulo"/>
    <w:uiPriority w:val="11"/>
    <w:rsid w:val="002D4E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D4E52"/>
    <w:pPr>
      <w:spacing w:before="160"/>
      <w:jc w:val="center"/>
    </w:pPr>
    <w:rPr>
      <w:i/>
      <w:iCs/>
      <w:color w:val="404040" w:themeColor="text1" w:themeTint="BF"/>
    </w:rPr>
  </w:style>
  <w:style w:type="character" w:styleId="CitaoChar" w:customStyle="1">
    <w:name w:val="Citação Char"/>
    <w:basedOn w:val="Fontepargpadro"/>
    <w:link w:val="Citao"/>
    <w:uiPriority w:val="29"/>
    <w:rsid w:val="002D4E5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D4E5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D4E5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D4E5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2D4E5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D4E52"/>
    <w:rPr>
      <w:b/>
      <w:bCs/>
      <w:smallCaps/>
      <w:color w:val="0F4761" w:themeColor="accent1" w:themeShade="BF"/>
      <w:spacing w:val="5"/>
    </w:rPr>
  </w:style>
  <w:style w:type="paragraph" w:styleId="Header">
    <w:uiPriority w:val="99"/>
    <w:name w:val="header"/>
    <w:basedOn w:val="Normal"/>
    <w:unhideWhenUsed/>
    <w:rsid w:val="5320AEE5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5320AEE5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2fc2ecdbe9ca41f3" /><Relationship Type="http://schemas.openxmlformats.org/officeDocument/2006/relationships/footer" Target="footer.xml" Id="R5ae50e8993ee42d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d6144d33288b4fa2" /><Relationship Type="http://schemas.openxmlformats.org/officeDocument/2006/relationships/image" Target="/media/image2.png" Id="R884554aec12f4c06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E5CF6A1E3CE64A9C6BDC81AD4D7CA4" ma:contentTypeVersion="19" ma:contentTypeDescription="Create a new document." ma:contentTypeScope="" ma:versionID="8df9cdf62520b147a8a2c3a7e7a1f402">
  <xsd:schema xmlns:xsd="http://www.w3.org/2001/XMLSchema" xmlns:xs="http://www.w3.org/2001/XMLSchema" xmlns:p="http://schemas.microsoft.com/office/2006/metadata/properties" xmlns:ns2="d4703020-0ceb-41f0-9ea3-16ac50777e5a" xmlns:ns3="b9c3971e-690a-47cf-9329-cc3947a3c973" targetNamespace="http://schemas.microsoft.com/office/2006/metadata/properties" ma:root="true" ma:fieldsID="74eae23bb0b0c2964526fef8f642f569" ns2:_="" ns3:_="">
    <xsd:import namespace="d4703020-0ceb-41f0-9ea3-16ac50777e5a"/>
    <xsd:import namespace="b9c3971e-690a-47cf-9329-cc3947a3c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03020-0ceb-41f0-9ea3-16ac50777e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c3971e-690a-47cf-9329-cc3947a3c9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33ccc8-a5d5-49be-9e8d-e28f3c6e5098}" ma:internalName="TaxCatchAll" ma:showField="CatchAllData" ma:web="b9c3971e-690a-47cf-9329-cc3947a3c9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4703020-0ceb-41f0-9ea3-16ac50777e5a" xsi:nil="true"/>
    <lcf76f155ced4ddcb4097134ff3c332f xmlns="d4703020-0ceb-41f0-9ea3-16ac50777e5a">
      <Terms xmlns="http://schemas.microsoft.com/office/infopath/2007/PartnerControls"/>
    </lcf76f155ced4ddcb4097134ff3c332f>
    <TaxCatchAll xmlns="b9c3971e-690a-47cf-9329-cc3947a3c973" xsi:nil="true"/>
  </documentManagement>
</p:properties>
</file>

<file path=customXml/itemProps1.xml><?xml version="1.0" encoding="utf-8"?>
<ds:datastoreItem xmlns:ds="http://schemas.openxmlformats.org/officeDocument/2006/customXml" ds:itemID="{F4B7A645-C430-4592-8DCF-DE07CB38BD8F}"/>
</file>

<file path=customXml/itemProps2.xml><?xml version="1.0" encoding="utf-8"?>
<ds:datastoreItem xmlns:ds="http://schemas.openxmlformats.org/officeDocument/2006/customXml" ds:itemID="{E742DCF3-0AC9-4988-8BEA-C71D078A82D3}"/>
</file>

<file path=customXml/itemProps3.xml><?xml version="1.0" encoding="utf-8"?>
<ds:datastoreItem xmlns:ds="http://schemas.openxmlformats.org/officeDocument/2006/customXml" ds:itemID="{E94813ED-692D-4841-9CAD-AEB3C80872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 Silva Duarte</dc:creator>
  <cp:keywords/>
  <dc:description/>
  <cp:lastModifiedBy>Leandro Martins das Neves</cp:lastModifiedBy>
  <cp:revision>3</cp:revision>
  <dcterms:created xsi:type="dcterms:W3CDTF">2025-07-01T15:27:00Z</dcterms:created>
  <dcterms:modified xsi:type="dcterms:W3CDTF">2025-07-02T10:43:09Z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0x010100EBE5CF6A1E3CE64A9C6BDC81AD4D7CA4</vt:lpwstr>
  </property>
  <property fmtid="{D5CDD505-2E9C-101B-9397-08002B2CF9AE}" pid="3" name="MediaServiceImageTags">
    <vt:lpwstr/>
  </property>
</Properties>
</file>